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3337B" w14:textId="6B787B5E" w:rsidR="00CF793E" w:rsidRPr="009A59F0" w:rsidRDefault="00CF793E" w:rsidP="00CF793E">
      <w:pPr>
        <w:keepNext/>
        <w:keepLines/>
        <w:spacing w:before="360" w:after="80" w:line="240" w:lineRule="auto"/>
        <w:outlineLvl w:val="0"/>
        <w:rPr>
          <w:rFonts w:ascii="Arial" w:eastAsiaTheme="majorEastAsia" w:hAnsi="Arial" w:cs="Arial"/>
          <w:color w:val="2F5496" w:themeColor="accent1" w:themeShade="BF"/>
          <w:kern w:val="0"/>
          <w:sz w:val="40"/>
          <w:szCs w:val="40"/>
          <w:lang w:eastAsia="zh-CN"/>
          <w14:ligatures w14:val="none"/>
        </w:rPr>
      </w:pPr>
      <w:bookmarkStart w:id="0" w:name="Xd8fb5f5020e6f43c14e7e0bf1252077590cb8aa"/>
      <w:bookmarkStart w:id="1" w:name="X6509f7d5cbb5edec6a32a95b0748deb4ccbdc3f"/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40"/>
          <w:szCs w:val="40"/>
          <w:lang w:eastAsia="zh-CN"/>
          <w14:ligatures w14:val="none"/>
        </w:rPr>
        <w:t xml:space="preserve">Zadání forenzního </w:t>
      </w:r>
      <w:r w:rsidR="009A59F0" w:rsidRPr="009A59F0">
        <w:rPr>
          <w:rFonts w:ascii="Arial" w:eastAsiaTheme="majorEastAsia" w:hAnsi="Arial" w:cs="Arial"/>
          <w:color w:val="2F5496" w:themeColor="accent1" w:themeShade="BF"/>
          <w:kern w:val="0"/>
          <w:sz w:val="40"/>
          <w:szCs w:val="40"/>
          <w:lang w:eastAsia="zh-CN"/>
          <w14:ligatures w14:val="none"/>
        </w:rPr>
        <w:t>a právního auditu</w:t>
      </w:r>
    </w:p>
    <w:p w14:paraId="020AEEFF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2" w:name="Xcd3f34f656b8bbe94417a3b128c343128cea358"/>
    </w:p>
    <w:p w14:paraId="787F631B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Činnost zaměstnanců města Kyjova v souvislosti s činností společnosti Lesy města Kyjova, s.r.o., v období 2017–2022</w:t>
      </w:r>
    </w:p>
    <w:p w14:paraId="4A0A0509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3" w:name="předmět-a-účel-auditu"/>
      <w:bookmarkEnd w:id="2"/>
      <w:bookmarkEnd w:id="3"/>
    </w:p>
    <w:p w14:paraId="7D700F58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1. Předmět a účel auditu</w:t>
      </w:r>
    </w:p>
    <w:p w14:paraId="4F09A472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Předmětem auditu je nezávislé prověření okolností výkonu činností zaměstnanců města Kyjova v souvislosti s činností společnosti Lesy města Kyjova, s.r.o., zejména v oblasti myslivosti, v období let 2017–2022.</w:t>
      </w:r>
    </w:p>
    <w:p w14:paraId="3FF67E75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Cílem je objektivně zjistit:</w:t>
      </w:r>
    </w:p>
    <w:p w14:paraId="6E5E2E8F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jaké činnosti zaměstnanci města vykonávali, v jakém rozsahu a na čí pokyn,</w:t>
      </w:r>
    </w:p>
    <w:p w14:paraId="2E2D1EE8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zda byly vykonávány v pracovní době a jak byly evidovány,</w:t>
      </w:r>
    </w:p>
    <w:p w14:paraId="140786F8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zda byly v souladu s pracovními smlouvami, právními a vnitřními předpisy,</w:t>
      </w:r>
    </w:p>
    <w:p w14:paraId="7FD1A604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na základě jakého právního či smluvního vztahu byly vykonávány ve vztahu ke společnosti Lesy města Kyjova, s.r.o.,</w:t>
      </w:r>
    </w:p>
    <w:p w14:paraId="28DAE41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zda městu Kyjovu nebo jinému městskému subjektu vznikly náklady, majetková újma, pohledávka nebo jiný ekonomický dopad,</w:t>
      </w:r>
    </w:p>
    <w:p w14:paraId="706BEFFC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zda došlo k individuálním nebo systémovým pochybením a jaká opatření je vhodné přijmout.</w:t>
      </w:r>
    </w:p>
    <w:p w14:paraId="77E27CE5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Audit nesmí předjímat, že došlo ke vzniku škody nebo protiprávnímu jednání. Jednotlivé skutečnosti mají být na základě dostupných důkazů označeny jako prokázané, vyvrácené, neprokázané nebo objektivně neověřitelné.</w:t>
      </w:r>
    </w:p>
    <w:p w14:paraId="46DE6230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4" w:name="rozsah-auditu"/>
      <w:bookmarkEnd w:id="4"/>
    </w:p>
    <w:p w14:paraId="5C69B529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2. Rozsah auditu</w:t>
      </w:r>
    </w:p>
    <w:p w14:paraId="5E57CB0C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Audit bude proveden zejména ve vztahu k:</w:t>
      </w:r>
    </w:p>
    <w:p w14:paraId="69156D7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městu Kyjovu a Městskému úřadu Kyjov,</w:t>
      </w:r>
    </w:p>
    <w:p w14:paraId="761458F8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společnosti Lesy města Kyjova, s.r.o.,</w:t>
      </w:r>
    </w:p>
    <w:p w14:paraId="05A628E5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za období </w:t>
      </w:r>
      <w:r w:rsidRPr="009A59F0">
        <w:rPr>
          <w:rFonts w:ascii="Arial" w:eastAsiaTheme="minorEastAsia" w:hAnsi="Arial" w:cs="Arial"/>
          <w:b/>
          <w:bCs/>
          <w:kern w:val="0"/>
          <w:sz w:val="24"/>
          <w:szCs w:val="24"/>
          <w:lang w:eastAsia="zh-CN"/>
          <w14:ligatures w14:val="none"/>
        </w:rPr>
        <w:t>1. 1. 2017 až 31. 12. 2022</w:t>
      </w: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.</w:t>
      </w:r>
    </w:p>
    <w:p w14:paraId="527B83FA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Podklady Technických služeb Kyjov nebo dalších subjektů budou využity pouze v rozsahu přímo souvisejícím s předmětem auditu.</w:t>
      </w:r>
    </w:p>
    <w:p w14:paraId="6782DCCB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Auditor </w:t>
      </w:r>
      <w:proofErr w:type="gramStart"/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prověří</w:t>
      </w:r>
      <w:proofErr w:type="gramEnd"/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 zejména:</w:t>
      </w:r>
    </w:p>
    <w:p w14:paraId="225D42D2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lastRenderedPageBreak/>
        <w:t>zakrmování zvěře, obsluhu a údržbu krmných zařízení a fotopastí a další související činnosti,</w:t>
      </w:r>
    </w:p>
    <w:p w14:paraId="6ED93B6B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četnost a časovou náročnost těchto činností,</w:t>
      </w:r>
    </w:p>
    <w:p w14:paraId="1EC95C81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osoby, které jejich výkon zadávaly, organizovaly, schvalovaly nebo o něm věděly,</w:t>
      </w:r>
    </w:p>
    <w:p w14:paraId="2DEE723E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evidenci pracovní doby, soukromých odchodů, dovolené, náhradního volna a cestovních příkazů,</w:t>
      </w:r>
    </w:p>
    <w:p w14:paraId="2FA182E6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používání vozidel, techniky a dalšího majetku města nebo městských subjektů,</w:t>
      </w:r>
    </w:p>
    <w:p w14:paraId="62278B3E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pracovní smlouvy a pracovní náplně dotčených zaměstnanců,</w:t>
      </w:r>
    </w:p>
    <w:p w14:paraId="2215B3A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smluvní, účetní a organizační vztahy mezi městem Kyjovem a společností Lesy města Kyjova, s.r.o.</w:t>
      </w:r>
    </w:p>
    <w:p w14:paraId="3598BC65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Zvláštní pozornost bude věnována konkrétním dnům, k nimž byly v rámci kontroly kontrolního výboru předloženy fotografie, elektronická komunikace nebo jiné důkazy o výkonu prověřovaných činností.</w:t>
      </w:r>
    </w:p>
    <w:p w14:paraId="3F803C2B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5" w:name="finanční-a-právní-posouzení"/>
      <w:bookmarkEnd w:id="5"/>
    </w:p>
    <w:p w14:paraId="3591106B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3. Finanční a právní posouzení</w:t>
      </w:r>
    </w:p>
    <w:p w14:paraId="192FA7B3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Pokud bude výkon prověřovaných činností potvrzen, auditor podle dostupných podkladů vyčíslí zejména:</w:t>
      </w:r>
    </w:p>
    <w:p w14:paraId="544134CD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mzdové a související personální náklady,</w:t>
      </w:r>
    </w:p>
    <w:p w14:paraId="64936DD8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náklady na pohonné hmoty,</w:t>
      </w:r>
    </w:p>
    <w:p w14:paraId="06E9DB5A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provoz a přiměřené opotřebení vozidel a techniky,</w:t>
      </w:r>
    </w:p>
    <w:p w14:paraId="5490C40A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případné cestovní a další související náklady,</w:t>
      </w:r>
    </w:p>
    <w:p w14:paraId="50BDA44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hodnotu služeb, které případně měly být mezi dotčenými subjekty vyúčtovány,</w:t>
      </w:r>
    </w:p>
    <w:p w14:paraId="16530551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případný ekonomický prospěch, pohledávku, majetkovou újmu nebo jiný ekonomický dopad.</w:t>
      </w:r>
    </w:p>
    <w:p w14:paraId="09FFB4A5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Výstup musí rozlišovat mezi částkami přímo doloženými, částkami stanovenými odborným odhadem a částkami, které nelze spolehlivě určit.</w:t>
      </w:r>
    </w:p>
    <w:p w14:paraId="31C1C49B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Dosavadní orientační propočty kontrolního výboru budou použity pouze jako podklad, nikoli jako závazný závěr.</w:t>
      </w:r>
    </w:p>
    <w:p w14:paraId="71A03DA8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Součástí auditu bude právní posouzení zejména:</w:t>
      </w:r>
    </w:p>
    <w:p w14:paraId="2B6A3D95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souladu zjištěného postupu s pracovněprávními a dalšími relevantními předpisy,</w:t>
      </w:r>
    </w:p>
    <w:p w14:paraId="25C9582B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oprávnění ukládat zaměstnancům prověřované činnosti,</w:t>
      </w:r>
    </w:p>
    <w:p w14:paraId="384837B2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právního vztahu mezi městem a společností Lesy města Kyjova, s.r.o.,</w:t>
      </w:r>
    </w:p>
    <w:p w14:paraId="458D8BD8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případné odpovědnosti konkrétních osob nebo subjektů,</w:t>
      </w:r>
    </w:p>
    <w:p w14:paraId="623AB1B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případných nároků města nebo společnosti Lesy města Kyjova, s.r.o.,</w:t>
      </w:r>
    </w:p>
    <w:p w14:paraId="00BF8D13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relevantních promlčecích lhůt a doporučení dalšího právního postupu.</w:t>
      </w:r>
    </w:p>
    <w:p w14:paraId="4F93C71A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Právní část musí být zajištěna osobou oprávněnou poskytovat právní služby v České republice.</w:t>
      </w:r>
    </w:p>
    <w:p w14:paraId="734A08EF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6" w:name="vnitřní-kontrolní-mechanismy"/>
      <w:bookmarkEnd w:id="6"/>
    </w:p>
    <w:p w14:paraId="7A45B1FB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4. Vnitřní kontrolní mechanismy</w:t>
      </w:r>
    </w:p>
    <w:p w14:paraId="5EC9DF72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Auditor posoudí, zda byly v prověřovaném období dostatečně nastaveny mechanismy týkající se:</w:t>
      </w:r>
    </w:p>
    <w:p w14:paraId="018DFC99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zadávání úkolů zaměstnancům,</w:t>
      </w:r>
    </w:p>
    <w:p w14:paraId="3F20277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evidence pracovní doby a soukromých odchodů,</w:t>
      </w:r>
    </w:p>
    <w:p w14:paraId="4F95D3D2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používání služebních vozidel,</w:t>
      </w:r>
    </w:p>
    <w:p w14:paraId="41EC0651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evidence cest a cestovních příkazů,</w:t>
      </w:r>
    </w:p>
    <w:p w14:paraId="16BB21E7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poskytování služeb mezi městem a jeho obchodními společnostmi.</w:t>
      </w:r>
    </w:p>
    <w:p w14:paraId="2410518B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Auditor se seznámí rovněž s relevantními výstupy interních a externích auditů města a společnosti Lesy města Kyjova, s.r.o., pokud se vztahují k předmětu zadání.</w:t>
      </w:r>
    </w:p>
    <w:p w14:paraId="211504EF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Předmětem není plošný audit hospodaření města ani společnosti Lesy města Kyjova, s.r.o.</w:t>
      </w:r>
    </w:p>
    <w:p w14:paraId="3E6B0A95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7" w:name="podklady"/>
    </w:p>
    <w:p w14:paraId="2B81D417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5. Podklady</w:t>
      </w:r>
    </w:p>
    <w:p w14:paraId="2EB247A7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Dodavateli budou v rozsahu, v jakém existují a lze je zákonným způsobem poskytnout, zpřístupněny zejména:</w:t>
      </w:r>
    </w:p>
    <w:p w14:paraId="0873AE95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zpráva kontrolního výboru a její přílohy,</w:t>
      </w:r>
    </w:p>
    <w:p w14:paraId="58FD4698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výpovědi, vyjádření, fotografie a elektronická komunikace,</w:t>
      </w:r>
    </w:p>
    <w:p w14:paraId="078A2577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pracovní smlouvy a pracovní náplně,</w:t>
      </w:r>
    </w:p>
    <w:p w14:paraId="59CBFD74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evidence pracovní doby včetně soukromých odchodů,</w:t>
      </w:r>
    </w:p>
    <w:p w14:paraId="01C71FF7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cestovní příkazy a knihy jízd,</w:t>
      </w:r>
    </w:p>
    <w:p w14:paraId="4F21EB85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evidence provozu relevantních vozidel,</w:t>
      </w:r>
    </w:p>
    <w:p w14:paraId="63552E46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související účetní doklady, smlouvy, objednávky a faktury,</w:t>
      </w:r>
    </w:p>
    <w:p w14:paraId="55DD25EB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relevantní vnitřní předpisy a auditní zprávy.</w:t>
      </w:r>
    </w:p>
    <w:p w14:paraId="20049731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Dodavatel může požádat o další potřebné podklady nebo provést rozhovory s relevantními osobami.</w:t>
      </w:r>
    </w:p>
    <w:p w14:paraId="6B28FF13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Pokud významný podklad neexistuje nebo již není dostupný, uvede auditor tuto skutečnost a její vliv na spolehlivost závěrů.</w:t>
      </w:r>
    </w:p>
    <w:p w14:paraId="1ECE78A9" w14:textId="77777777" w:rsidR="00CF793E" w:rsidRPr="009A59F0" w:rsidRDefault="00CF793E" w:rsidP="00CF793E">
      <w:pPr>
        <w:spacing w:before="180" w:after="180" w:line="240" w:lineRule="auto"/>
        <w:rPr>
          <w:rFonts w:eastAsiaTheme="minorEastAsia" w:cs="Times New Roman"/>
          <w:kern w:val="0"/>
          <w:sz w:val="24"/>
          <w:szCs w:val="24"/>
          <w:lang w:eastAsia="zh-CN"/>
          <w14:ligatures w14:val="none"/>
        </w:rPr>
      </w:pPr>
      <w:bookmarkStart w:id="8" w:name="požadované-výstupy"/>
      <w:bookmarkEnd w:id="7"/>
      <w:bookmarkEnd w:id="8"/>
    </w:p>
    <w:p w14:paraId="71F7AF80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6. Požadované výstupy</w:t>
      </w:r>
    </w:p>
    <w:p w14:paraId="4614C5F9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Výstupem bude:</w:t>
      </w:r>
    </w:p>
    <w:p w14:paraId="25FBC0B1" w14:textId="77777777" w:rsidR="00CF793E" w:rsidRPr="009A59F0" w:rsidRDefault="00CF793E" w:rsidP="00CF793E">
      <w:pPr>
        <w:numPr>
          <w:ilvl w:val="0"/>
          <w:numId w:val="2"/>
        </w:numPr>
        <w:spacing w:after="20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b/>
          <w:bCs/>
          <w:kern w:val="0"/>
          <w:sz w:val="24"/>
          <w:szCs w:val="24"/>
          <w:lang w:eastAsia="zh-CN"/>
          <w14:ligatures w14:val="none"/>
        </w:rPr>
        <w:t>závěrečná auditní zpráva</w:t>
      </w: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 obsahující:</w:t>
      </w:r>
    </w:p>
    <w:p w14:paraId="461C1AF8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lastRenderedPageBreak/>
        <w:t>popis metodiky,</w:t>
      </w:r>
    </w:p>
    <w:p w14:paraId="3F437FAC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časovou osu hlavních skutečností,</w:t>
      </w:r>
    </w:p>
    <w:p w14:paraId="1B85D2B0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odpovědi na auditní otázky,</w:t>
      </w:r>
    </w:p>
    <w:p w14:paraId="77F05E4F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finanční vyčíslení,</w:t>
      </w:r>
    </w:p>
    <w:p w14:paraId="5B5EFBA0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právní posouzení,</w:t>
      </w:r>
    </w:p>
    <w:p w14:paraId="65E81DF0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identifikaci případných individuálních nebo systémových nedostatků,</w:t>
      </w:r>
    </w:p>
    <w:p w14:paraId="14D160D9" w14:textId="77777777" w:rsidR="00CF793E" w:rsidRPr="009A59F0" w:rsidRDefault="00CF793E" w:rsidP="00CF793E">
      <w:pPr>
        <w:numPr>
          <w:ilvl w:val="1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doporučení dalšího postupu;</w:t>
      </w:r>
    </w:p>
    <w:p w14:paraId="3F7D2472" w14:textId="77777777" w:rsidR="00CF793E" w:rsidRPr="009A59F0" w:rsidRDefault="00CF793E" w:rsidP="00CF793E">
      <w:pPr>
        <w:numPr>
          <w:ilvl w:val="0"/>
          <w:numId w:val="2"/>
        </w:numPr>
        <w:spacing w:after="20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b/>
          <w:bCs/>
          <w:kern w:val="0"/>
          <w:sz w:val="24"/>
          <w:szCs w:val="24"/>
          <w:lang w:eastAsia="zh-CN"/>
          <w14:ligatures w14:val="none"/>
        </w:rPr>
        <w:t>přehled finančních výpočtů</w:t>
      </w: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 v editovatelné podobě;</w:t>
      </w:r>
    </w:p>
    <w:p w14:paraId="3EEC0B6C" w14:textId="77777777" w:rsidR="00CF793E" w:rsidRPr="009A59F0" w:rsidRDefault="00CF793E" w:rsidP="00CF793E">
      <w:pPr>
        <w:numPr>
          <w:ilvl w:val="0"/>
          <w:numId w:val="2"/>
        </w:numPr>
        <w:spacing w:after="20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b/>
          <w:bCs/>
          <w:kern w:val="0"/>
          <w:sz w:val="24"/>
          <w:szCs w:val="24"/>
          <w:lang w:eastAsia="zh-CN"/>
          <w14:ligatures w14:val="none"/>
        </w:rPr>
        <w:t>přehled zásadních zjištění a podkladů</w:t>
      </w: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, o něž se jednotlivé závěry opírají;</w:t>
      </w:r>
    </w:p>
    <w:p w14:paraId="007EF831" w14:textId="77777777" w:rsidR="00CF793E" w:rsidRPr="009A59F0" w:rsidRDefault="00CF793E" w:rsidP="00CF793E">
      <w:pPr>
        <w:numPr>
          <w:ilvl w:val="0"/>
          <w:numId w:val="2"/>
        </w:numPr>
        <w:spacing w:after="20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b/>
          <w:bCs/>
          <w:kern w:val="0"/>
          <w:sz w:val="24"/>
          <w:szCs w:val="24"/>
          <w:lang w:eastAsia="zh-CN"/>
          <w14:ligatures w14:val="none"/>
        </w:rPr>
        <w:t>prezentace výsledků Zastupitelstvu města Kyjova</w:t>
      </w: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 včetně zodpovězení dotazů zastupitelů.</w:t>
      </w:r>
    </w:p>
    <w:p w14:paraId="22042DFE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Zpráva musí jasně rozlišovat mezi prokázanou skutečností, odborným odhadem, právním názorem a skutečností, kterou nelze spolehlivě ověřit.</w:t>
      </w:r>
    </w:p>
    <w:p w14:paraId="156539FA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9" w:name="nezávislost-dodavatele-a-obsah-nabídky"/>
      <w:bookmarkEnd w:id="9"/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7. Nezávislost dodavatele a obsah nabídky</w:t>
      </w:r>
    </w:p>
    <w:p w14:paraId="676DDC7C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Dodavatel musí být nezávislý na auditovaných subjektech a osobách přímo dotčených předmětem auditu.</w:t>
      </w:r>
    </w:p>
    <w:p w14:paraId="7CB06D21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Nabídka musí obsahovat minimálně:</w:t>
      </w:r>
    </w:p>
    <w:p w14:paraId="175778B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popis metodiky,</w:t>
      </w:r>
    </w:p>
    <w:p w14:paraId="11BDA86B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složení a odbornou kvalifikaci realizačního týmu,</w:t>
      </w:r>
    </w:p>
    <w:p w14:paraId="33F2D85B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zkušenosti s obdobnými zakázkami,</w:t>
      </w:r>
    </w:p>
    <w:p w14:paraId="0662D97A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celkovou cenu bez DPH a včetně DPH,</w:t>
      </w:r>
    </w:p>
    <w:p w14:paraId="193DDC90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předpokládanou časovou náročnost a harmonogram,</w:t>
      </w:r>
    </w:p>
    <w:p w14:paraId="75433F79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hodinové sazby případných prací nad rámec zadání,</w:t>
      </w:r>
    </w:p>
    <w:p w14:paraId="2FE709E2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seznam předávaných výstupů,</w:t>
      </w:r>
    </w:p>
    <w:p w14:paraId="4D72DF91" w14:textId="77777777" w:rsidR="00CF793E" w:rsidRPr="009A59F0" w:rsidRDefault="00CF793E" w:rsidP="00CF793E">
      <w:pPr>
        <w:numPr>
          <w:ilvl w:val="0"/>
          <w:numId w:val="1"/>
        </w:numPr>
        <w:spacing w:before="36" w:after="36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prohlášení o nezávislosti a případném střetu zájmů.</w:t>
      </w:r>
    </w:p>
    <w:p w14:paraId="4AF7ADEB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Případné rozšíření předmětu auditu nad rámec tohoto zadání musí být předem odsouhlaseno objednatelem.</w:t>
      </w:r>
    </w:p>
    <w:p w14:paraId="1AD7EDF6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bookmarkStart w:id="10" w:name="příjemce-výsledku"/>
      <w:bookmarkEnd w:id="10"/>
    </w:p>
    <w:p w14:paraId="68D0A4D2" w14:textId="77777777" w:rsidR="00CF793E" w:rsidRPr="009A59F0" w:rsidRDefault="00CF793E" w:rsidP="00CF793E">
      <w:pPr>
        <w:keepNext/>
        <w:keepLines/>
        <w:spacing w:before="160" w:after="80" w:line="240" w:lineRule="auto"/>
        <w:outlineLvl w:val="2"/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</w:pPr>
      <w:r w:rsidRPr="009A59F0">
        <w:rPr>
          <w:rFonts w:ascii="Arial" w:eastAsiaTheme="majorEastAsia" w:hAnsi="Arial" w:cs="Arial"/>
          <w:color w:val="2F5496" w:themeColor="accent1" w:themeShade="BF"/>
          <w:kern w:val="0"/>
          <w:sz w:val="28"/>
          <w:szCs w:val="28"/>
          <w:lang w:eastAsia="zh-CN"/>
          <w14:ligatures w14:val="none"/>
        </w:rPr>
        <w:t>8. Příjemce výsledku</w:t>
      </w:r>
    </w:p>
    <w:p w14:paraId="274FFDCF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Objednatelem zakázky je město Kyjov.</w:t>
      </w:r>
    </w:p>
    <w:p w14:paraId="42C8A8CB" w14:textId="77777777" w:rsidR="00CF793E" w:rsidRPr="009A59F0" w:rsidRDefault="00CF793E" w:rsidP="00CF793E">
      <w:pPr>
        <w:spacing w:before="180" w:after="180" w:line="240" w:lineRule="auto"/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</w:pP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 xml:space="preserve">Konečným příjemcem odborného výstupu je </w:t>
      </w:r>
      <w:r w:rsidRPr="009A59F0">
        <w:rPr>
          <w:rFonts w:ascii="Arial" w:eastAsiaTheme="minorEastAsia" w:hAnsi="Arial" w:cs="Arial"/>
          <w:b/>
          <w:bCs/>
          <w:kern w:val="0"/>
          <w:sz w:val="24"/>
          <w:szCs w:val="24"/>
          <w:lang w:eastAsia="zh-CN"/>
          <w14:ligatures w14:val="none"/>
        </w:rPr>
        <w:t>Zastupitelstvo města Kyjova</w:t>
      </w:r>
      <w:r w:rsidRPr="009A59F0">
        <w:rPr>
          <w:rFonts w:ascii="Arial" w:eastAsiaTheme="minorEastAsia" w:hAnsi="Arial" w:cs="Arial"/>
          <w:kern w:val="0"/>
          <w:sz w:val="24"/>
          <w:szCs w:val="24"/>
          <w:lang w:eastAsia="zh-CN"/>
          <w14:ligatures w14:val="none"/>
        </w:rPr>
        <w:t>. Úplná závěrečná zpráva bude předložena také Kontrolnímu výboru Zastupitelstva města Kyjova v obsahově nezměněném znění.</w:t>
      </w:r>
    </w:p>
    <w:bookmarkEnd w:id="0"/>
    <w:bookmarkEnd w:id="1"/>
    <w:p w14:paraId="1C6EB781" w14:textId="77777777" w:rsidR="008151B2" w:rsidRPr="009A59F0" w:rsidRDefault="008151B2"/>
    <w:sectPr w:rsidR="008151B2" w:rsidRPr="009A59F0" w:rsidSect="008F7181"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1"/>
    <w:multiLevelType w:val="multilevel"/>
    <w:tmpl w:val="FFFFFFFF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9941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 w16cid:durableId="654332395">
    <w:abstractNumId w:val="0"/>
  </w:num>
  <w:num w:numId="2" w16cid:durableId="6243925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1B2"/>
    <w:rsid w:val="008151B2"/>
    <w:rsid w:val="009A59F0"/>
    <w:rsid w:val="00C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013F"/>
  <w15:chartTrackingRefBased/>
  <w15:docId w15:val="{0BE61570-06F8-4DAC-A412-F5B4BD4C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Zkladntext"/>
    <w:link w:val="Nadpis1Char"/>
    <w:uiPriority w:val="9"/>
    <w:qFormat/>
    <w:rsid w:val="00CF793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="Times New Roman"/>
      <w:color w:val="2F5496" w:themeColor="accent1" w:themeShade="BF"/>
      <w:kern w:val="0"/>
      <w:sz w:val="40"/>
      <w:szCs w:val="40"/>
      <w:lang w:val="en-US" w:eastAsia="zh-CN"/>
      <w14:ligatures w14:val="none"/>
    </w:rPr>
  </w:style>
  <w:style w:type="paragraph" w:styleId="Nadpis3">
    <w:name w:val="heading 3"/>
    <w:basedOn w:val="Normln"/>
    <w:next w:val="Zkladntext"/>
    <w:link w:val="Nadpis3Char"/>
    <w:uiPriority w:val="9"/>
    <w:semiHidden/>
    <w:unhideWhenUsed/>
    <w:qFormat/>
    <w:rsid w:val="00CF793E"/>
    <w:pPr>
      <w:keepNext/>
      <w:keepLines/>
      <w:spacing w:before="160" w:after="80" w:line="240" w:lineRule="auto"/>
      <w:outlineLvl w:val="2"/>
    </w:pPr>
    <w:rPr>
      <w:rFonts w:eastAsiaTheme="majorEastAsia" w:cs="Times New Roman"/>
      <w:color w:val="2F5496" w:themeColor="accent1" w:themeShade="BF"/>
      <w:kern w:val="0"/>
      <w:sz w:val="28"/>
      <w:szCs w:val="28"/>
      <w:lang w:val="en-US"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F793E"/>
    <w:rPr>
      <w:rFonts w:asciiTheme="majorHAnsi" w:eastAsiaTheme="majorEastAsia" w:hAnsiTheme="majorHAnsi" w:cs="Times New Roman"/>
      <w:color w:val="2F5496" w:themeColor="accent1" w:themeShade="BF"/>
      <w:kern w:val="0"/>
      <w:sz w:val="40"/>
      <w:szCs w:val="40"/>
      <w:lang w:val="en-US" w:eastAsia="zh-CN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F793E"/>
    <w:rPr>
      <w:rFonts w:eastAsiaTheme="majorEastAsia" w:cs="Times New Roman"/>
      <w:color w:val="2F5496" w:themeColor="accent1" w:themeShade="BF"/>
      <w:kern w:val="0"/>
      <w:sz w:val="28"/>
      <w:szCs w:val="28"/>
      <w:lang w:val="en-US" w:eastAsia="zh-CN"/>
      <w14:ligatures w14:val="none"/>
    </w:rPr>
  </w:style>
  <w:style w:type="paragraph" w:styleId="Zkladntext">
    <w:name w:val="Body Text"/>
    <w:basedOn w:val="Normln"/>
    <w:link w:val="ZkladntextChar"/>
    <w:uiPriority w:val="99"/>
    <w:qFormat/>
    <w:rsid w:val="00CF793E"/>
    <w:pPr>
      <w:spacing w:before="180" w:after="180" w:line="240" w:lineRule="auto"/>
    </w:pPr>
    <w:rPr>
      <w:rFonts w:eastAsiaTheme="minorEastAsia" w:cs="Times New Roman"/>
      <w:kern w:val="0"/>
      <w:sz w:val="24"/>
      <w:szCs w:val="24"/>
      <w:lang w:val="en-US" w:eastAsia="zh-CN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F793E"/>
    <w:rPr>
      <w:rFonts w:eastAsiaTheme="minorEastAsia" w:cs="Times New Roman"/>
      <w:kern w:val="0"/>
      <w:sz w:val="24"/>
      <w:szCs w:val="24"/>
      <w:lang w:val="en-US" w:eastAsia="zh-CN"/>
      <w14:ligatures w14:val="none"/>
    </w:rPr>
  </w:style>
  <w:style w:type="paragraph" w:customStyle="1" w:styleId="FirstParagraph">
    <w:name w:val="First Paragraph"/>
    <w:basedOn w:val="Zkladntext"/>
    <w:next w:val="Zkladntext"/>
    <w:qFormat/>
    <w:rsid w:val="00CF793E"/>
  </w:style>
  <w:style w:type="paragraph" w:customStyle="1" w:styleId="Compact">
    <w:name w:val="Compact"/>
    <w:basedOn w:val="Zkladntext"/>
    <w:qFormat/>
    <w:rsid w:val="00CF793E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5321</Characters>
  <Application>Microsoft Office Word</Application>
  <DocSecurity>0</DocSecurity>
  <Lines>44</Lines>
  <Paragraphs>12</Paragraphs>
  <ScaleCrop>false</ScaleCrop>
  <Company/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Fridrich Lukáš Mgr. (UMPOD)</dc:creator>
  <cp:keywords/>
  <dc:description/>
  <cp:lastModifiedBy>Fridrich Lukáš Mgr. (UMPOD)</cp:lastModifiedBy>
  <cp:revision>3</cp:revision>
  <dcterms:created xsi:type="dcterms:W3CDTF">2026-08-18T14:02:00Z</dcterms:created>
  <dcterms:modified xsi:type="dcterms:W3CDTF">2026-08-25T14:01:00Z</dcterms:modified>
</cp:coreProperties>
</file>